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185B" w14:textId="309DF749" w:rsidR="00F23EF3" w:rsidRDefault="00F23EF3" w:rsidP="00F23EF3">
      <w:pPr>
        <w:jc w:val="center"/>
        <w:rPr>
          <w:rFonts w:cstheme="minorHAnsi"/>
          <w:b/>
          <w:bCs/>
        </w:rPr>
      </w:pPr>
    </w:p>
    <w:p w14:paraId="4CA945F3" w14:textId="095C03A1" w:rsidR="00D60527" w:rsidRPr="00725D4E" w:rsidRDefault="00D60527" w:rsidP="00D60527">
      <w:pPr>
        <w:rPr>
          <w:rFonts w:cstheme="minorHAnsi"/>
          <w:b/>
          <w:bCs/>
        </w:rPr>
      </w:pPr>
      <w:r w:rsidRPr="00725D4E">
        <w:rPr>
          <w:rFonts w:cstheme="minorHAnsi"/>
          <w:b/>
          <w:bCs/>
        </w:rPr>
        <w:t>Quels sont les impacts des sanctions sur la Russie pour les entreprises canadiennes</w:t>
      </w:r>
      <w:r w:rsidR="002101EF">
        <w:rPr>
          <w:rFonts w:cstheme="minorHAnsi"/>
          <w:b/>
          <w:bCs/>
        </w:rPr>
        <w:t> </w:t>
      </w:r>
      <w:r w:rsidRPr="00725D4E">
        <w:rPr>
          <w:rFonts w:cstheme="minorHAnsi"/>
          <w:b/>
          <w:bCs/>
        </w:rPr>
        <w:t>?</w:t>
      </w:r>
    </w:p>
    <w:p w14:paraId="672D01A2" w14:textId="564ACE92" w:rsidR="00132D96" w:rsidRDefault="00AA08AC" w:rsidP="00D60527">
      <w:pPr>
        <w:rPr>
          <w:rFonts w:cstheme="minorHAnsi"/>
        </w:rPr>
      </w:pPr>
      <w:r>
        <w:rPr>
          <w:rFonts w:cstheme="minorHAnsi"/>
        </w:rPr>
        <w:t>A</w:t>
      </w:r>
      <w:r w:rsidR="00283AD8">
        <w:rPr>
          <w:rFonts w:cstheme="minorHAnsi"/>
        </w:rPr>
        <w:t xml:space="preserve">fin de répondre </w:t>
      </w:r>
      <w:r w:rsidR="00283AD8" w:rsidRPr="00283AD8">
        <w:rPr>
          <w:rFonts w:cstheme="minorHAnsi"/>
        </w:rPr>
        <w:t>à la gravité de la violation de</w:t>
      </w:r>
      <w:r w:rsidR="00283AD8">
        <w:rPr>
          <w:rFonts w:cstheme="minorHAnsi"/>
        </w:rPr>
        <w:t xml:space="preserve"> l</w:t>
      </w:r>
      <w:r w:rsidR="00283AD8" w:rsidRPr="00283AD8">
        <w:rPr>
          <w:rFonts w:cstheme="minorHAnsi"/>
        </w:rPr>
        <w:t>’intégrité territoriale de l’Ukraine par la Russie, ainsi que les graves violations des droits de la personne qui ont été commises</w:t>
      </w:r>
      <w:r w:rsidR="00283AD8">
        <w:rPr>
          <w:rFonts w:cstheme="minorHAnsi"/>
        </w:rPr>
        <w:t xml:space="preserve">, </w:t>
      </w:r>
      <w:r w:rsidR="00D60527" w:rsidRPr="00725D4E">
        <w:rPr>
          <w:rFonts w:cstheme="minorHAnsi"/>
        </w:rPr>
        <w:t xml:space="preserve">le Canada a modifié le </w:t>
      </w:r>
      <w:hyperlink r:id="rId7" w:history="1">
        <w:r w:rsidR="00D60527" w:rsidRPr="00A36D13">
          <w:rPr>
            <w:rStyle w:val="Lienhypertexte"/>
            <w:rFonts w:cstheme="minorHAnsi"/>
            <w:i/>
            <w:iCs/>
          </w:rPr>
          <w:t>Règlement sur les mesures économiques spéciales visant la Russie</w:t>
        </w:r>
      </w:hyperlink>
      <w:r w:rsidR="00D60527" w:rsidRPr="00725D4E">
        <w:rPr>
          <w:rFonts w:cstheme="minorHAnsi"/>
          <w:i/>
          <w:iCs/>
        </w:rPr>
        <w:t xml:space="preserve"> </w:t>
      </w:r>
      <w:r w:rsidR="00D60527" w:rsidRPr="00725D4E">
        <w:rPr>
          <w:rFonts w:cstheme="minorHAnsi"/>
        </w:rPr>
        <w:t>(RM</w:t>
      </w:r>
      <w:r w:rsidR="00D60527" w:rsidRPr="00AE5D1F">
        <w:rPr>
          <w:rFonts w:cstheme="minorHAnsi"/>
        </w:rPr>
        <w:t xml:space="preserve">ESR) </w:t>
      </w:r>
      <w:r w:rsidR="00283AD8" w:rsidRPr="00AE5D1F">
        <w:rPr>
          <w:rFonts w:cstheme="minorHAnsi"/>
        </w:rPr>
        <w:t>à plusieurs reprises</w:t>
      </w:r>
      <w:r w:rsidR="00D60527" w:rsidRPr="00AE5D1F">
        <w:rPr>
          <w:rFonts w:cstheme="minorHAnsi"/>
        </w:rPr>
        <w:t xml:space="preserve"> afin d’élargir l</w:t>
      </w:r>
      <w:r w:rsidR="00283AD8" w:rsidRPr="00AE5D1F">
        <w:rPr>
          <w:rFonts w:cstheme="minorHAnsi"/>
        </w:rPr>
        <w:t>a portée des sanctions économiques à l’endroit de la Russie.</w:t>
      </w:r>
      <w:r w:rsidR="00D03EB6">
        <w:rPr>
          <w:rFonts w:cstheme="minorHAnsi"/>
        </w:rPr>
        <w:t xml:space="preserve"> Or, depuis le mois de février 2022, le nombre et la portée de ces sanctions économiques ont considérablement augmenté.</w:t>
      </w:r>
      <w:r w:rsidR="00283AD8" w:rsidRPr="00AE5D1F">
        <w:rPr>
          <w:rFonts w:cstheme="minorHAnsi"/>
        </w:rPr>
        <w:t xml:space="preserve"> </w:t>
      </w:r>
    </w:p>
    <w:p w14:paraId="14887EE6" w14:textId="33D87349" w:rsidR="00283AD8" w:rsidRPr="00AE5D1F" w:rsidRDefault="00563B03" w:rsidP="00D60527">
      <w:pPr>
        <w:rPr>
          <w:rFonts w:cstheme="minorHAnsi"/>
        </w:rPr>
      </w:pPr>
      <w:r w:rsidRPr="00AE5D1F">
        <w:rPr>
          <w:rFonts w:cstheme="minorHAnsi"/>
        </w:rPr>
        <w:t xml:space="preserve">Si vous-mêmes ou votre entreprise entretenez des liens commerciaux avec une personne figurant sur la </w:t>
      </w:r>
      <w:r w:rsidRPr="00AE5D1F">
        <w:rPr>
          <w:rFonts w:cstheme="minorHAnsi"/>
          <w:i/>
          <w:iCs/>
        </w:rPr>
        <w:t xml:space="preserve">Liste des sanctions du Canada </w:t>
      </w:r>
      <w:r w:rsidRPr="00AE5D1F">
        <w:rPr>
          <w:rFonts w:cstheme="minorHAnsi"/>
        </w:rPr>
        <w:t>à l’endroit de la Russie, ayez en tête que les sanctions économiques imposées par le Canada pourraient également s’appliquer à vous.</w:t>
      </w:r>
    </w:p>
    <w:p w14:paraId="29FACA59" w14:textId="3F3AFE20" w:rsidR="0092510C" w:rsidRPr="00AE5D1F" w:rsidRDefault="00164981" w:rsidP="00BC233C">
      <w:pPr>
        <w:rPr>
          <w:rFonts w:cstheme="minorHAnsi"/>
        </w:rPr>
      </w:pPr>
      <w:bookmarkStart w:id="0" w:name="_Hlk105500938"/>
      <w:r w:rsidRPr="00AE5D1F">
        <w:rPr>
          <w:rFonts w:cstheme="minorHAnsi"/>
        </w:rPr>
        <w:t>En date du 3</w:t>
      </w:r>
      <w:r w:rsidR="002101EF">
        <w:rPr>
          <w:rFonts w:cstheme="minorHAnsi"/>
        </w:rPr>
        <w:t> </w:t>
      </w:r>
      <w:r w:rsidRPr="00AE5D1F">
        <w:rPr>
          <w:rFonts w:cstheme="minorHAnsi"/>
        </w:rPr>
        <w:t xml:space="preserve">juin 2022, </w:t>
      </w:r>
      <w:r w:rsidR="00674EF9" w:rsidRPr="00AE5D1F">
        <w:rPr>
          <w:rFonts w:cstheme="minorHAnsi"/>
        </w:rPr>
        <w:t>plus de 9</w:t>
      </w:r>
      <w:r w:rsidR="00F062A6">
        <w:rPr>
          <w:rFonts w:cstheme="minorHAnsi"/>
        </w:rPr>
        <w:t>67</w:t>
      </w:r>
      <w:r w:rsidR="002101EF">
        <w:rPr>
          <w:rFonts w:cstheme="minorHAnsi"/>
        </w:rPr>
        <w:t> </w:t>
      </w:r>
      <w:r w:rsidRPr="00AE5D1F">
        <w:rPr>
          <w:rFonts w:cstheme="minorHAnsi"/>
        </w:rPr>
        <w:t xml:space="preserve">personnes et entités </w:t>
      </w:r>
      <w:r w:rsidR="00674EF9" w:rsidRPr="00AE5D1F">
        <w:rPr>
          <w:rFonts w:cstheme="minorHAnsi"/>
        </w:rPr>
        <w:t xml:space="preserve">russes sont désormais </w:t>
      </w:r>
      <w:r w:rsidRPr="00AE5D1F">
        <w:rPr>
          <w:rFonts w:cstheme="minorHAnsi"/>
        </w:rPr>
        <w:t xml:space="preserve">visées par </w:t>
      </w:r>
      <w:r w:rsidR="00C83E19" w:rsidRPr="00AE5D1F">
        <w:rPr>
          <w:rFonts w:cstheme="minorHAnsi"/>
        </w:rPr>
        <w:t xml:space="preserve">la </w:t>
      </w:r>
      <w:r w:rsidR="00C83E19" w:rsidRPr="00AE5D1F">
        <w:rPr>
          <w:rFonts w:cstheme="minorHAnsi"/>
          <w:i/>
          <w:iCs/>
        </w:rPr>
        <w:t xml:space="preserve">Liste des </w:t>
      </w:r>
      <w:r w:rsidR="0078241E" w:rsidRPr="00AE5D1F">
        <w:rPr>
          <w:rFonts w:cstheme="minorHAnsi"/>
          <w:i/>
          <w:iCs/>
        </w:rPr>
        <w:t xml:space="preserve">personnes et entités désignées par le Canada </w:t>
      </w:r>
      <w:r w:rsidR="00C83E19" w:rsidRPr="00AE5D1F">
        <w:rPr>
          <w:rFonts w:cstheme="minorHAnsi"/>
        </w:rPr>
        <w:t>que l’on retrouve aux Annexe</w:t>
      </w:r>
      <w:r w:rsidR="00D03EB6">
        <w:rPr>
          <w:rFonts w:cstheme="minorHAnsi"/>
        </w:rPr>
        <w:t>s</w:t>
      </w:r>
      <w:r w:rsidR="002101EF">
        <w:rPr>
          <w:rFonts w:cstheme="minorHAnsi"/>
        </w:rPr>
        <w:t> </w:t>
      </w:r>
      <w:r w:rsidR="00C83E19" w:rsidRPr="00AE5D1F">
        <w:rPr>
          <w:rFonts w:cstheme="minorHAnsi"/>
        </w:rPr>
        <w:t xml:space="preserve">1 à </w:t>
      </w:r>
      <w:r w:rsidR="005D2447">
        <w:rPr>
          <w:rFonts w:cstheme="minorHAnsi"/>
        </w:rPr>
        <w:t>3</w:t>
      </w:r>
      <w:r w:rsidR="005D2447" w:rsidRPr="00AE5D1F">
        <w:rPr>
          <w:rFonts w:cstheme="minorHAnsi"/>
        </w:rPr>
        <w:t xml:space="preserve"> </w:t>
      </w:r>
      <w:r w:rsidR="00C83E19" w:rsidRPr="00AE5D1F">
        <w:rPr>
          <w:rFonts w:cstheme="minorHAnsi"/>
        </w:rPr>
        <w:t xml:space="preserve">du RMESR. </w:t>
      </w:r>
      <w:r w:rsidR="00BC233C" w:rsidRPr="00AE5D1F">
        <w:rPr>
          <w:rFonts w:cstheme="minorHAnsi"/>
        </w:rPr>
        <w:t>Les sanctions économiques</w:t>
      </w:r>
      <w:r w:rsidR="0092510C" w:rsidRPr="00AE5D1F">
        <w:rPr>
          <w:rFonts w:cstheme="minorHAnsi"/>
        </w:rPr>
        <w:t xml:space="preserve"> s’appliquent autour de trois principaux axes que sont :</w:t>
      </w:r>
    </w:p>
    <w:bookmarkEnd w:id="0"/>
    <w:p w14:paraId="5AD237CB" w14:textId="01F5AEC3" w:rsidR="0092510C" w:rsidRPr="00AE5D1F" w:rsidRDefault="000273A3" w:rsidP="00C83E19">
      <w:pPr>
        <w:pStyle w:val="Paragraphedeliste"/>
        <w:numPr>
          <w:ilvl w:val="0"/>
          <w:numId w:val="4"/>
        </w:numPr>
        <w:rPr>
          <w:rFonts w:cstheme="minorHAnsi"/>
        </w:rPr>
      </w:pPr>
      <w:r w:rsidRPr="00AE5D1F">
        <w:rPr>
          <w:rFonts w:cstheme="minorHAnsi"/>
        </w:rPr>
        <w:t>Les</w:t>
      </w:r>
      <w:r w:rsidR="0092510C" w:rsidRPr="00AE5D1F">
        <w:rPr>
          <w:rFonts w:cstheme="minorHAnsi"/>
        </w:rPr>
        <w:t xml:space="preserve"> interdictions d’effectuer d</w:t>
      </w:r>
      <w:r w:rsidR="00BC233C" w:rsidRPr="00AE5D1F">
        <w:rPr>
          <w:rFonts w:cstheme="minorHAnsi"/>
        </w:rPr>
        <w:t>es opérations et transactions commerciales</w:t>
      </w:r>
      <w:r w:rsidR="0092510C" w:rsidRPr="00AE5D1F">
        <w:rPr>
          <w:rFonts w:cstheme="minorHAnsi"/>
        </w:rPr>
        <w:t xml:space="preserve"> </w:t>
      </w:r>
      <w:r w:rsidRPr="00AE5D1F">
        <w:rPr>
          <w:rFonts w:cstheme="minorHAnsi"/>
        </w:rPr>
        <w:t xml:space="preserve">directes ou indirectes portant </w:t>
      </w:r>
      <w:r w:rsidR="0092510C" w:rsidRPr="00AE5D1F">
        <w:rPr>
          <w:rFonts w:cstheme="minorHAnsi"/>
        </w:rPr>
        <w:t xml:space="preserve">sur des biens </w:t>
      </w:r>
      <w:r w:rsidRPr="00AE5D1F">
        <w:rPr>
          <w:rFonts w:cstheme="minorHAnsi"/>
        </w:rPr>
        <w:t>ou</w:t>
      </w:r>
      <w:r w:rsidR="0092510C" w:rsidRPr="00AE5D1F">
        <w:rPr>
          <w:rFonts w:cstheme="minorHAnsi"/>
        </w:rPr>
        <w:t xml:space="preserve"> des services appartenant ou sous le contrôle des personnes désignées</w:t>
      </w:r>
      <w:r w:rsidR="00C83E19" w:rsidRPr="00AE5D1F">
        <w:rPr>
          <w:rFonts w:cstheme="minorHAnsi"/>
        </w:rPr>
        <w:t xml:space="preserve"> aux Annexe</w:t>
      </w:r>
      <w:r w:rsidR="00D03EB6">
        <w:rPr>
          <w:rFonts w:cstheme="minorHAnsi"/>
        </w:rPr>
        <w:t>s</w:t>
      </w:r>
      <w:r w:rsidR="002101EF">
        <w:rPr>
          <w:rFonts w:cstheme="minorHAnsi"/>
        </w:rPr>
        <w:t> </w:t>
      </w:r>
      <w:r w:rsidR="00C83E19" w:rsidRPr="00AE5D1F">
        <w:rPr>
          <w:rFonts w:cstheme="minorHAnsi"/>
        </w:rPr>
        <w:t>1 à 3</w:t>
      </w:r>
      <w:r w:rsidR="002101EF">
        <w:rPr>
          <w:rFonts w:cstheme="minorHAnsi"/>
        </w:rPr>
        <w:t> </w:t>
      </w:r>
      <w:r w:rsidR="0092510C" w:rsidRPr="00AE5D1F">
        <w:rPr>
          <w:rFonts w:cstheme="minorHAnsi"/>
        </w:rPr>
        <w:t>;</w:t>
      </w:r>
    </w:p>
    <w:p w14:paraId="391C9102" w14:textId="2984CCA3" w:rsidR="0092510C" w:rsidRPr="00484572" w:rsidRDefault="000273A3" w:rsidP="0092510C">
      <w:pPr>
        <w:pStyle w:val="Paragraphedeliste"/>
        <w:numPr>
          <w:ilvl w:val="0"/>
          <w:numId w:val="4"/>
        </w:numPr>
        <w:rPr>
          <w:rFonts w:cstheme="minorHAnsi"/>
        </w:rPr>
      </w:pPr>
      <w:r w:rsidRPr="00484572">
        <w:rPr>
          <w:rFonts w:cstheme="minorHAnsi"/>
        </w:rPr>
        <w:t xml:space="preserve">La </w:t>
      </w:r>
      <w:r w:rsidR="0092510C" w:rsidRPr="00484572">
        <w:rPr>
          <w:rFonts w:cstheme="minorHAnsi"/>
        </w:rPr>
        <w:t>saisie et la détention des biens ou des avoirs appartenant ou sous le contrôle des personnes désignées</w:t>
      </w:r>
      <w:r w:rsidRPr="00484572">
        <w:rPr>
          <w:rFonts w:cstheme="minorHAnsi"/>
        </w:rPr>
        <w:t xml:space="preserve"> ou leur étant destinés</w:t>
      </w:r>
      <w:r w:rsidR="002101EF">
        <w:rPr>
          <w:rFonts w:cstheme="minorHAnsi"/>
        </w:rPr>
        <w:t> </w:t>
      </w:r>
      <w:r w:rsidR="0092510C" w:rsidRPr="00484572">
        <w:rPr>
          <w:rFonts w:cstheme="minorHAnsi"/>
        </w:rPr>
        <w:t xml:space="preserve">; </w:t>
      </w:r>
    </w:p>
    <w:p w14:paraId="7DFB6150" w14:textId="590744AD" w:rsidR="00BC233C" w:rsidRPr="00484572" w:rsidRDefault="00BC760E" w:rsidP="0092510C">
      <w:pPr>
        <w:pStyle w:val="Paragraphedeliste"/>
        <w:numPr>
          <w:ilvl w:val="0"/>
          <w:numId w:val="4"/>
        </w:numPr>
        <w:rPr>
          <w:rFonts w:cstheme="minorHAnsi"/>
        </w:rPr>
      </w:pPr>
      <w:r w:rsidRPr="00484572">
        <w:rPr>
          <w:rFonts w:cstheme="minorHAnsi"/>
        </w:rPr>
        <w:t>Le régime d’infraction</w:t>
      </w:r>
      <w:r w:rsidR="005B66D4">
        <w:rPr>
          <w:rFonts w:cstheme="minorHAnsi"/>
        </w:rPr>
        <w:t>s</w:t>
      </w:r>
      <w:r w:rsidRPr="00484572">
        <w:rPr>
          <w:rFonts w:cstheme="minorHAnsi"/>
        </w:rPr>
        <w:t xml:space="preserve"> et de peine</w:t>
      </w:r>
      <w:r w:rsidR="005B66D4">
        <w:rPr>
          <w:rFonts w:cstheme="minorHAnsi"/>
        </w:rPr>
        <w:t>s</w:t>
      </w:r>
      <w:r w:rsidR="000273A3" w:rsidRPr="00484572">
        <w:rPr>
          <w:rFonts w:cstheme="minorHAnsi"/>
        </w:rPr>
        <w:t xml:space="preserve">. </w:t>
      </w:r>
    </w:p>
    <w:p w14:paraId="72DFB64A" w14:textId="47869743" w:rsidR="00C83E19" w:rsidRPr="00AE5D1F" w:rsidRDefault="00C83E19" w:rsidP="00C83E19">
      <w:pPr>
        <w:rPr>
          <w:rFonts w:cstheme="minorHAnsi"/>
        </w:rPr>
      </w:pPr>
    </w:p>
    <w:p w14:paraId="538FA1BC" w14:textId="7391E513" w:rsidR="00C83E19" w:rsidRPr="00563B03" w:rsidRDefault="00C83E19" w:rsidP="00C83E19">
      <w:pPr>
        <w:rPr>
          <w:rFonts w:cstheme="minorHAnsi"/>
          <w:b/>
          <w:bCs/>
        </w:rPr>
      </w:pPr>
      <w:r w:rsidRPr="00563B03">
        <w:rPr>
          <w:rFonts w:cstheme="minorHAnsi"/>
          <w:b/>
          <w:bCs/>
        </w:rPr>
        <w:t xml:space="preserve">1. Sont principalement interdites les activités suivantes : </w:t>
      </w:r>
    </w:p>
    <w:p w14:paraId="483C7B31" w14:textId="7C54CC0C" w:rsidR="00C83E19" w:rsidRPr="00AE5D1F" w:rsidRDefault="00C83E19" w:rsidP="00C83E19">
      <w:pPr>
        <w:pStyle w:val="Paragraphedeliste"/>
        <w:numPr>
          <w:ilvl w:val="0"/>
          <w:numId w:val="2"/>
        </w:numPr>
        <w:rPr>
          <w:rFonts w:cstheme="minorHAnsi"/>
        </w:rPr>
      </w:pPr>
      <w:r w:rsidRPr="00AE5D1F">
        <w:rPr>
          <w:rFonts w:cstheme="minorHAnsi"/>
        </w:rPr>
        <w:t>Le fait de mettre des marchandises, où qu’elles soient, à la disponibilité des personnes désignées, notamment les marchandises prévues à l’Annexe</w:t>
      </w:r>
      <w:r w:rsidR="002101EF">
        <w:rPr>
          <w:rFonts w:cstheme="minorHAnsi"/>
        </w:rPr>
        <w:t> </w:t>
      </w:r>
      <w:r w:rsidRPr="00AE5D1F">
        <w:rPr>
          <w:rFonts w:cstheme="minorHAnsi"/>
        </w:rPr>
        <w:t xml:space="preserve">4 ainsi que les marchandises inscrites sur la </w:t>
      </w:r>
      <w:hyperlink r:id="rId8" w:history="1">
        <w:r w:rsidRPr="00AE6157">
          <w:rPr>
            <w:rStyle w:val="Lienhypertexte"/>
            <w:rFonts w:cstheme="minorHAnsi"/>
            <w:i/>
            <w:iCs/>
            <w:color w:val="0070C0"/>
          </w:rPr>
          <w:t>Liste des marchandises et technologies d’exportation contrôlée</w:t>
        </w:r>
      </w:hyperlink>
      <w:r w:rsidR="002101EF">
        <w:rPr>
          <w:rStyle w:val="Lienhypertexte"/>
          <w:rFonts w:cstheme="minorHAnsi"/>
          <w:i/>
          <w:iCs/>
          <w:color w:val="0070C0"/>
        </w:rPr>
        <w:t> </w:t>
      </w:r>
      <w:r w:rsidRPr="00AE5D1F">
        <w:rPr>
          <w:rFonts w:cstheme="minorHAnsi"/>
        </w:rPr>
        <w:t>;</w:t>
      </w:r>
    </w:p>
    <w:p w14:paraId="534EF518" w14:textId="77777777" w:rsidR="00C83E19" w:rsidRPr="00AE5D1F" w:rsidRDefault="00C83E19" w:rsidP="00C83E19">
      <w:pPr>
        <w:pStyle w:val="Paragraphedeliste"/>
        <w:rPr>
          <w:rFonts w:cstheme="minorHAnsi"/>
        </w:rPr>
      </w:pPr>
    </w:p>
    <w:p w14:paraId="171D81F2" w14:textId="264095B3" w:rsidR="00C83E19" w:rsidRPr="00AE5D1F" w:rsidRDefault="00C83E19" w:rsidP="00C83E19">
      <w:pPr>
        <w:pStyle w:val="Paragraphedeliste"/>
        <w:numPr>
          <w:ilvl w:val="0"/>
          <w:numId w:val="2"/>
        </w:numPr>
        <w:rPr>
          <w:rFonts w:cstheme="minorHAnsi"/>
        </w:rPr>
      </w:pPr>
      <w:r w:rsidRPr="00AE5D1F">
        <w:rPr>
          <w:rFonts w:cstheme="minorHAnsi"/>
        </w:rPr>
        <w:t>Le fait d’effectuer une transaction portant sur un bien, où qu’il se trouve, appartenant à une personne désignée</w:t>
      </w:r>
      <w:r w:rsidR="00AE6157" w:rsidRPr="00AE6157">
        <w:rPr>
          <w:rFonts w:cstheme="minorHAnsi"/>
        </w:rPr>
        <w:t xml:space="preserve"> </w:t>
      </w:r>
      <w:r w:rsidR="00AE6157" w:rsidRPr="00AE5D1F">
        <w:rPr>
          <w:rFonts w:cstheme="minorHAnsi"/>
        </w:rPr>
        <w:t>aux Annexe</w:t>
      </w:r>
      <w:r w:rsidR="00AE6157">
        <w:rPr>
          <w:rFonts w:cstheme="minorHAnsi"/>
        </w:rPr>
        <w:t>s</w:t>
      </w:r>
      <w:r w:rsidR="002101EF">
        <w:rPr>
          <w:rFonts w:cstheme="minorHAnsi"/>
        </w:rPr>
        <w:t> </w:t>
      </w:r>
      <w:r w:rsidR="00AE6157" w:rsidRPr="00AE5D1F">
        <w:rPr>
          <w:rFonts w:cstheme="minorHAnsi"/>
        </w:rPr>
        <w:t>1 à 3</w:t>
      </w:r>
      <w:r w:rsidR="002101EF">
        <w:rPr>
          <w:rFonts w:cstheme="minorHAnsi"/>
        </w:rPr>
        <w:t> </w:t>
      </w:r>
      <w:r w:rsidRPr="00AE5D1F">
        <w:rPr>
          <w:rFonts w:cstheme="minorHAnsi"/>
        </w:rPr>
        <w:t>;</w:t>
      </w:r>
    </w:p>
    <w:p w14:paraId="620EEDCA" w14:textId="77777777" w:rsidR="00C83E19" w:rsidRPr="00AE5D1F" w:rsidRDefault="00C83E19" w:rsidP="00C83E19">
      <w:pPr>
        <w:pStyle w:val="Paragraphedeliste"/>
        <w:rPr>
          <w:rFonts w:cstheme="minorHAnsi"/>
        </w:rPr>
      </w:pPr>
    </w:p>
    <w:p w14:paraId="71C54628" w14:textId="14C8AB58" w:rsidR="00C83E19" w:rsidRPr="00AE5D1F" w:rsidRDefault="00C83E19" w:rsidP="00C83E19">
      <w:pPr>
        <w:pStyle w:val="Paragraphedeliste"/>
        <w:numPr>
          <w:ilvl w:val="0"/>
          <w:numId w:val="2"/>
        </w:numPr>
        <w:rPr>
          <w:rFonts w:cstheme="minorHAnsi"/>
        </w:rPr>
      </w:pPr>
      <w:r w:rsidRPr="00AE5D1F">
        <w:rPr>
          <w:rFonts w:cstheme="minorHAnsi"/>
        </w:rPr>
        <w:t>Le fait de procurer un service financier, technique ou autre lié à une marchandise appartenant à une personne désignée</w:t>
      </w:r>
      <w:r w:rsidR="00AE6157" w:rsidRPr="00AE6157">
        <w:rPr>
          <w:rFonts w:cstheme="minorHAnsi"/>
        </w:rPr>
        <w:t xml:space="preserve"> </w:t>
      </w:r>
      <w:r w:rsidR="00AE6157" w:rsidRPr="00AE5D1F">
        <w:rPr>
          <w:rFonts w:cstheme="minorHAnsi"/>
        </w:rPr>
        <w:t>aux Annexe</w:t>
      </w:r>
      <w:r w:rsidR="00AE6157">
        <w:rPr>
          <w:rFonts w:cstheme="minorHAnsi"/>
        </w:rPr>
        <w:t>s</w:t>
      </w:r>
      <w:r w:rsidR="002101EF">
        <w:rPr>
          <w:rFonts w:cstheme="minorHAnsi"/>
        </w:rPr>
        <w:t> </w:t>
      </w:r>
      <w:r w:rsidR="00AE6157" w:rsidRPr="00AE5D1F">
        <w:rPr>
          <w:rFonts w:cstheme="minorHAnsi"/>
        </w:rPr>
        <w:t>1 à 3</w:t>
      </w:r>
      <w:r w:rsidRPr="00AE5D1F">
        <w:rPr>
          <w:rFonts w:cstheme="minorHAnsi"/>
        </w:rPr>
        <w:t xml:space="preserve"> ou au profit de celle-ci.</w:t>
      </w:r>
    </w:p>
    <w:p w14:paraId="2491F321" w14:textId="77777777" w:rsidR="00132D96" w:rsidRPr="00AE5D1F" w:rsidRDefault="00132D96" w:rsidP="00132D96">
      <w:pPr>
        <w:pStyle w:val="Paragraphedeliste"/>
        <w:rPr>
          <w:rFonts w:cstheme="minorHAnsi"/>
        </w:rPr>
      </w:pPr>
    </w:p>
    <w:p w14:paraId="0E291035" w14:textId="687A5B42" w:rsidR="00132D96" w:rsidRDefault="00BC760E" w:rsidP="00BC760E">
      <w:pPr>
        <w:pStyle w:val="Paragraphedelist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L</w:t>
      </w:r>
      <w:r w:rsidRPr="00BC760E">
        <w:rPr>
          <w:rFonts w:cstheme="minorHAnsi"/>
        </w:rPr>
        <w:t>e</w:t>
      </w:r>
      <w:r w:rsidR="00132D96" w:rsidRPr="00BC760E">
        <w:rPr>
          <w:rFonts w:cstheme="minorHAnsi"/>
        </w:rPr>
        <w:t xml:space="preserve"> 18</w:t>
      </w:r>
      <w:r w:rsidR="002101EF">
        <w:rPr>
          <w:rFonts w:cstheme="minorHAnsi"/>
        </w:rPr>
        <w:t> </w:t>
      </w:r>
      <w:r w:rsidR="00132D96" w:rsidRPr="00BC760E">
        <w:rPr>
          <w:rFonts w:cstheme="minorHAnsi"/>
        </w:rPr>
        <w:t>mai 2022, le gouvernement canadien a modifié le RMESR afin d’interdire l’exportation et l’importation de</w:t>
      </w:r>
      <w:r w:rsidRPr="00BC760E">
        <w:rPr>
          <w:rFonts w:cstheme="minorHAnsi"/>
        </w:rPr>
        <w:t xml:space="preserve"> toute</w:t>
      </w:r>
      <w:r w:rsidR="00132D96" w:rsidRPr="00BC760E">
        <w:rPr>
          <w:rFonts w:cstheme="minorHAnsi"/>
        </w:rPr>
        <w:t xml:space="preserve"> marchandise de luxe à destination ou en provenance de la Russie. Ces modifications entreront en vigueur le 17</w:t>
      </w:r>
      <w:r w:rsidR="002101EF">
        <w:rPr>
          <w:rFonts w:cstheme="minorHAnsi"/>
        </w:rPr>
        <w:t> </w:t>
      </w:r>
      <w:r w:rsidR="00132D96" w:rsidRPr="00BC760E">
        <w:rPr>
          <w:rFonts w:cstheme="minorHAnsi"/>
        </w:rPr>
        <w:t xml:space="preserve">juillet 2022.  </w:t>
      </w:r>
    </w:p>
    <w:p w14:paraId="66309DFD" w14:textId="6BC3868F" w:rsidR="00BC760E" w:rsidRPr="00BC760E" w:rsidRDefault="00BC760E" w:rsidP="00BC760E">
      <w:pPr>
        <w:pStyle w:val="Paragraphedeliste"/>
        <w:rPr>
          <w:rFonts w:cstheme="minorHAnsi"/>
        </w:rPr>
      </w:pPr>
    </w:p>
    <w:p w14:paraId="4699412A" w14:textId="7CEB9C4F" w:rsidR="001206CB" w:rsidRPr="00AE5D1F" w:rsidRDefault="0023512F" w:rsidP="00CC0DD5">
      <w:pPr>
        <w:rPr>
          <w:rFonts w:cstheme="minorHAnsi"/>
        </w:rPr>
      </w:pPr>
      <w:r w:rsidRPr="00AE5D1F">
        <w:rPr>
          <w:rFonts w:cstheme="minorHAnsi"/>
        </w:rPr>
        <w:t xml:space="preserve">Il incombe aux entités canadiennes, plus particulièrement aux entreprises œuvrant dans le secteur des technologies, </w:t>
      </w:r>
      <w:r w:rsidR="00484572">
        <w:rPr>
          <w:rFonts w:cstheme="minorHAnsi"/>
        </w:rPr>
        <w:t>des services financiers (</w:t>
      </w:r>
      <w:r w:rsidRPr="00AE5D1F">
        <w:rPr>
          <w:rFonts w:cstheme="minorHAnsi"/>
        </w:rPr>
        <w:t>banques, assurance</w:t>
      </w:r>
      <w:r w:rsidR="004E2E06">
        <w:rPr>
          <w:rFonts w:cstheme="minorHAnsi"/>
        </w:rPr>
        <w:t>s</w:t>
      </w:r>
      <w:r w:rsidRPr="00AE5D1F">
        <w:rPr>
          <w:rFonts w:cstheme="minorHAnsi"/>
        </w:rPr>
        <w:t>, fiducie</w:t>
      </w:r>
      <w:r w:rsidR="004E2E06">
        <w:rPr>
          <w:rFonts w:cstheme="minorHAnsi"/>
        </w:rPr>
        <w:t>s</w:t>
      </w:r>
      <w:r w:rsidRPr="00AE5D1F">
        <w:rPr>
          <w:rFonts w:cstheme="minorHAnsi"/>
        </w:rPr>
        <w:t>, commerce des valeurs mobilières</w:t>
      </w:r>
      <w:r w:rsidR="00484572">
        <w:rPr>
          <w:rFonts w:cstheme="minorHAnsi"/>
        </w:rPr>
        <w:t>)</w:t>
      </w:r>
      <w:r w:rsidRPr="00AE5D1F">
        <w:rPr>
          <w:rFonts w:cstheme="minorHAnsi"/>
        </w:rPr>
        <w:t xml:space="preserve"> de vérifier de façon continue l’existence de biens qui sont en leur possession ou sous leur contrôle et qui appartiennent à toute personne désignée. </w:t>
      </w:r>
    </w:p>
    <w:p w14:paraId="606C7D67" w14:textId="18BEC79A" w:rsidR="002F6352" w:rsidRPr="00297DEF" w:rsidRDefault="00823A67" w:rsidP="002F6352">
      <w:pPr>
        <w:rPr>
          <w:rFonts w:cstheme="minorHAnsi"/>
        </w:rPr>
      </w:pPr>
      <w:r>
        <w:rPr>
          <w:rFonts w:cstheme="minorHAnsi"/>
        </w:rPr>
        <w:t>C</w:t>
      </w:r>
      <w:r w:rsidR="002F6352" w:rsidRPr="00AE5D1F">
        <w:rPr>
          <w:rFonts w:cstheme="minorHAnsi"/>
        </w:rPr>
        <w:t xml:space="preserve">ertaines exemptions </w:t>
      </w:r>
      <w:r w:rsidR="00132D96">
        <w:rPr>
          <w:rFonts w:cstheme="minorHAnsi"/>
        </w:rPr>
        <w:t xml:space="preserve">sont </w:t>
      </w:r>
      <w:r>
        <w:rPr>
          <w:rFonts w:cstheme="minorHAnsi"/>
        </w:rPr>
        <w:t xml:space="preserve">toutefois </w:t>
      </w:r>
      <w:r w:rsidR="002F6352" w:rsidRPr="00AE5D1F">
        <w:rPr>
          <w:rFonts w:cstheme="minorHAnsi"/>
        </w:rPr>
        <w:t xml:space="preserve">prévues. </w:t>
      </w:r>
      <w:r w:rsidR="00EE0308" w:rsidRPr="00AE5D1F">
        <w:rPr>
          <w:rFonts w:cstheme="minorHAnsi"/>
          <w:shd w:val="clear" w:color="auto" w:fill="FFFFFF"/>
        </w:rPr>
        <w:t xml:space="preserve">Les </w:t>
      </w:r>
      <w:r w:rsidR="00EE0308" w:rsidRPr="00AE5D1F">
        <w:rPr>
          <w:rFonts w:cstheme="minorHAnsi"/>
        </w:rPr>
        <w:t xml:space="preserve">activités qui ont été effectuées avant l’inscription de la personne désignée en cause sur la liste du Canada </w:t>
      </w:r>
      <w:r w:rsidR="00132D96">
        <w:rPr>
          <w:rFonts w:cstheme="minorHAnsi"/>
        </w:rPr>
        <w:t>ne sont interdit</w:t>
      </w:r>
      <w:r w:rsidR="00BC760E">
        <w:rPr>
          <w:rFonts w:cstheme="minorHAnsi"/>
        </w:rPr>
        <w:t>e</w:t>
      </w:r>
      <w:r w:rsidR="00132D96">
        <w:rPr>
          <w:rFonts w:cstheme="minorHAnsi"/>
        </w:rPr>
        <w:t>s</w:t>
      </w:r>
      <w:r w:rsidR="00EE0308" w:rsidRPr="00AE5D1F">
        <w:rPr>
          <w:rFonts w:cstheme="minorHAnsi"/>
        </w:rPr>
        <w:t>, de même que les paiements réalisés par les personnes désignées à l’endroit d’une entité canadienne n’étant pas inscrite comme personne désignée exigibles aux termes d’un contrat conclu avant l’inscrip</w:t>
      </w:r>
      <w:r w:rsidR="00EE0308" w:rsidRPr="00297DEF">
        <w:rPr>
          <w:rFonts w:cstheme="minorHAnsi"/>
        </w:rPr>
        <w:t>tion de ces personnes désignées. Enfin, d</w:t>
      </w:r>
      <w:r w:rsidR="002F6352" w:rsidRPr="00297DEF">
        <w:rPr>
          <w:rFonts w:cstheme="minorHAnsi"/>
        </w:rPr>
        <w:t>es exemptions</w:t>
      </w:r>
      <w:r w:rsidR="00EE0308" w:rsidRPr="00297DEF">
        <w:rPr>
          <w:rFonts w:cstheme="minorHAnsi"/>
        </w:rPr>
        <w:t xml:space="preserve"> spécifiques peuvent aussi s’appliquer sur </w:t>
      </w:r>
      <w:r w:rsidR="002F6352" w:rsidRPr="00297DEF">
        <w:rPr>
          <w:rFonts w:cstheme="minorHAnsi"/>
        </w:rPr>
        <w:t xml:space="preserve">certaines marchandises </w:t>
      </w:r>
      <w:r w:rsidR="00EE0308" w:rsidRPr="00297DEF">
        <w:rPr>
          <w:rFonts w:cstheme="minorHAnsi"/>
        </w:rPr>
        <w:t>par exemple</w:t>
      </w:r>
      <w:r w:rsidR="00D03EB6">
        <w:rPr>
          <w:rFonts w:cstheme="minorHAnsi"/>
        </w:rPr>
        <w:t>,</w:t>
      </w:r>
      <w:r w:rsidR="00EE0308" w:rsidRPr="00297DEF">
        <w:rPr>
          <w:rFonts w:cstheme="minorHAnsi"/>
        </w:rPr>
        <w:t xml:space="preserve"> </w:t>
      </w:r>
      <w:r w:rsidR="002F6352" w:rsidRPr="00297DEF">
        <w:rPr>
          <w:rFonts w:cstheme="minorHAnsi"/>
        </w:rPr>
        <w:t xml:space="preserve">les </w:t>
      </w:r>
      <w:r w:rsidR="002F6352" w:rsidRPr="00297DEF">
        <w:rPr>
          <w:rFonts w:cstheme="minorHAnsi"/>
          <w:shd w:val="clear" w:color="auto" w:fill="FFFFFF"/>
        </w:rPr>
        <w:t xml:space="preserve">dispositifs de communication, logiciels, généralement accessibles au public. </w:t>
      </w:r>
    </w:p>
    <w:p w14:paraId="4A78013F" w14:textId="0D33E97C" w:rsidR="00ED2647" w:rsidRPr="00297DEF" w:rsidRDefault="002F6352" w:rsidP="00530EAE">
      <w:pPr>
        <w:rPr>
          <w:rFonts w:cstheme="minorHAnsi"/>
          <w:b/>
          <w:bCs/>
        </w:rPr>
      </w:pPr>
      <w:r w:rsidRPr="00297DEF">
        <w:rPr>
          <w:rFonts w:cstheme="minorHAnsi"/>
          <w:b/>
          <w:bCs/>
        </w:rPr>
        <w:t>2.</w:t>
      </w:r>
      <w:r w:rsidR="00ED2647" w:rsidRPr="00297DEF">
        <w:rPr>
          <w:rFonts w:cstheme="minorHAnsi"/>
          <w:b/>
          <w:bCs/>
        </w:rPr>
        <w:t xml:space="preserve"> La saisie et la détention des biens ou des avoirs appartenant ou sous le contrôle des personnes désignées ou leur étant destinés</w:t>
      </w:r>
    </w:p>
    <w:p w14:paraId="38714EAA" w14:textId="5F34ED13" w:rsidR="001D666B" w:rsidRPr="00B37AA5" w:rsidRDefault="0023512F" w:rsidP="00530EAE">
      <w:pPr>
        <w:rPr>
          <w:rFonts w:cstheme="minorHAnsi"/>
        </w:rPr>
      </w:pPr>
      <w:r w:rsidRPr="00297DEF">
        <w:rPr>
          <w:rFonts w:cstheme="minorHAnsi"/>
        </w:rPr>
        <w:t xml:space="preserve">Les interdictions énumérées ci-haut s’appliquent à toute opération pouvant impliquer les biens </w:t>
      </w:r>
      <w:r w:rsidR="00F07386" w:rsidRPr="00297DEF">
        <w:rPr>
          <w:rFonts w:cstheme="minorHAnsi"/>
        </w:rPr>
        <w:t xml:space="preserve">ou les entités i) </w:t>
      </w:r>
      <w:r w:rsidRPr="00297DEF">
        <w:rPr>
          <w:rFonts w:cstheme="minorHAnsi"/>
        </w:rPr>
        <w:t xml:space="preserve">appartenant, </w:t>
      </w:r>
      <w:r w:rsidR="00F07386" w:rsidRPr="00297DEF">
        <w:rPr>
          <w:rFonts w:cstheme="minorHAnsi"/>
        </w:rPr>
        <w:t xml:space="preserve">ii) </w:t>
      </w:r>
      <w:r w:rsidRPr="00297DEF">
        <w:rPr>
          <w:rFonts w:cstheme="minorHAnsi"/>
        </w:rPr>
        <w:t xml:space="preserve">détenus ou </w:t>
      </w:r>
      <w:r w:rsidR="00F07386" w:rsidRPr="00297DEF">
        <w:rPr>
          <w:rFonts w:cstheme="minorHAnsi"/>
        </w:rPr>
        <w:t xml:space="preserve">iii) </w:t>
      </w:r>
      <w:r w:rsidRPr="00297DEF">
        <w:rPr>
          <w:rFonts w:cstheme="minorHAnsi"/>
        </w:rPr>
        <w:t xml:space="preserve">contrôlés </w:t>
      </w:r>
      <w:r w:rsidR="001D666B" w:rsidRPr="00297DEF">
        <w:rPr>
          <w:rFonts w:cstheme="minorHAnsi"/>
          <w:b/>
          <w:bCs/>
        </w:rPr>
        <w:t>directement</w:t>
      </w:r>
      <w:r w:rsidR="001D666B" w:rsidRPr="00297DEF">
        <w:rPr>
          <w:rFonts w:cstheme="minorHAnsi"/>
        </w:rPr>
        <w:t xml:space="preserve"> ou </w:t>
      </w:r>
      <w:r w:rsidRPr="00297DEF">
        <w:rPr>
          <w:rFonts w:cstheme="minorHAnsi"/>
          <w:b/>
          <w:bCs/>
        </w:rPr>
        <w:t>indirectement</w:t>
      </w:r>
      <w:r w:rsidRPr="00297DEF">
        <w:rPr>
          <w:rFonts w:cstheme="minorHAnsi"/>
        </w:rPr>
        <w:t xml:space="preserve"> p</w:t>
      </w:r>
      <w:r w:rsidR="00297DEF" w:rsidRPr="00297DEF">
        <w:rPr>
          <w:rFonts w:cstheme="minorHAnsi"/>
        </w:rPr>
        <w:t>ar l</w:t>
      </w:r>
      <w:r w:rsidRPr="00297DEF">
        <w:rPr>
          <w:rFonts w:cstheme="minorHAnsi"/>
        </w:rPr>
        <w:t>es personnes</w:t>
      </w:r>
      <w:r w:rsidR="00297DEF" w:rsidRPr="00297DEF">
        <w:rPr>
          <w:rFonts w:cstheme="minorHAnsi"/>
        </w:rPr>
        <w:t xml:space="preserve"> désignées</w:t>
      </w:r>
      <w:r w:rsidRPr="00297DEF">
        <w:rPr>
          <w:rFonts w:cstheme="minorHAnsi"/>
        </w:rPr>
        <w:t xml:space="preserve">, suivant leurs instructions ou pour leur compte. </w:t>
      </w:r>
      <w:r w:rsidR="00B37AA5">
        <w:rPr>
          <w:rFonts w:cstheme="minorHAnsi"/>
        </w:rPr>
        <w:t xml:space="preserve">Les notions de possession, </w:t>
      </w:r>
      <w:r w:rsidR="00B37AA5" w:rsidRPr="00B37AA5">
        <w:rPr>
          <w:rFonts w:cstheme="minorHAnsi"/>
        </w:rPr>
        <w:t>de garde et de contrôle d</w:t>
      </w:r>
      <w:r w:rsidR="00B37AA5">
        <w:rPr>
          <w:rFonts w:cstheme="minorHAnsi"/>
        </w:rPr>
        <w:t>oivent être prises en considération</w:t>
      </w:r>
      <w:r w:rsidR="00B37AA5" w:rsidRPr="00B37AA5">
        <w:rPr>
          <w:rFonts w:cstheme="minorHAnsi"/>
        </w:rPr>
        <w:t>.</w:t>
      </w:r>
    </w:p>
    <w:p w14:paraId="5582BF47" w14:textId="56724EE3" w:rsidR="00A910C2" w:rsidRPr="006C00E1" w:rsidRDefault="00BC760E" w:rsidP="00A910C2">
      <w:pPr>
        <w:rPr>
          <w:rFonts w:cstheme="minorHAnsi"/>
        </w:rPr>
      </w:pPr>
      <w:r>
        <w:rPr>
          <w:rFonts w:cstheme="minorHAnsi"/>
        </w:rPr>
        <w:t>L</w:t>
      </w:r>
      <w:r w:rsidR="006C00E1">
        <w:rPr>
          <w:rFonts w:cstheme="minorHAnsi"/>
        </w:rPr>
        <w:t xml:space="preserve">a </w:t>
      </w:r>
      <w:r w:rsidR="006C00E1" w:rsidRPr="00AE5D1F">
        <w:rPr>
          <w:rFonts w:cstheme="minorHAnsi"/>
          <w:i/>
          <w:iCs/>
        </w:rPr>
        <w:t>Loi sur les mesures économiques spéciales</w:t>
      </w:r>
      <w:r w:rsidR="00AC07BD">
        <w:rPr>
          <w:rFonts w:cstheme="minorHAnsi"/>
          <w:i/>
          <w:iCs/>
        </w:rPr>
        <w:t xml:space="preserve">, </w:t>
      </w:r>
      <w:r w:rsidR="00AC07BD">
        <w:rPr>
          <w:rFonts w:cstheme="minorHAnsi"/>
        </w:rPr>
        <w:t>qui habilite le régime de sanctions économiques visant la Russie</w:t>
      </w:r>
      <w:r w:rsidR="006C00E1">
        <w:rPr>
          <w:rFonts w:cstheme="minorHAnsi"/>
        </w:rPr>
        <w:t xml:space="preserve">, </w:t>
      </w:r>
      <w:r w:rsidR="00AC07BD">
        <w:rPr>
          <w:rFonts w:cstheme="minorHAnsi"/>
        </w:rPr>
        <w:t xml:space="preserve">confère aux </w:t>
      </w:r>
      <w:r w:rsidR="00AC07BD" w:rsidRPr="00AC07BD">
        <w:rPr>
          <w:rFonts w:cstheme="minorHAnsi"/>
        </w:rPr>
        <w:t>agents des douanes</w:t>
      </w:r>
      <w:r w:rsidR="00AC07BD" w:rsidRPr="00AC07BD">
        <w:t xml:space="preserve"> </w:t>
      </w:r>
      <w:r w:rsidR="00132D96">
        <w:t xml:space="preserve">canadiens </w:t>
      </w:r>
      <w:r w:rsidR="00AC07BD">
        <w:t>le pouvoir de</w:t>
      </w:r>
      <w:r w:rsidR="001336A2">
        <w:t xml:space="preserve"> fouiller, de</w:t>
      </w:r>
      <w:r w:rsidR="00AC07BD">
        <w:t xml:space="preserve"> </w:t>
      </w:r>
      <w:r w:rsidR="001336A2">
        <w:t xml:space="preserve">perquisitionner, de </w:t>
      </w:r>
      <w:r w:rsidR="001336A2">
        <w:rPr>
          <w:rFonts w:cstheme="minorHAnsi"/>
        </w:rPr>
        <w:t>confisquer</w:t>
      </w:r>
      <w:r w:rsidR="00AC07BD" w:rsidRPr="00AC07BD">
        <w:rPr>
          <w:rFonts w:cstheme="minorHAnsi"/>
        </w:rPr>
        <w:t xml:space="preserve"> et</w:t>
      </w:r>
      <w:r w:rsidR="00AC07BD">
        <w:rPr>
          <w:rFonts w:cstheme="minorHAnsi"/>
        </w:rPr>
        <w:t xml:space="preserve"> de </w:t>
      </w:r>
      <w:r w:rsidR="00AC07BD" w:rsidRPr="00AC07BD">
        <w:rPr>
          <w:rFonts w:cstheme="minorHAnsi"/>
        </w:rPr>
        <w:t>déten</w:t>
      </w:r>
      <w:r w:rsidR="00AC07BD">
        <w:rPr>
          <w:rFonts w:cstheme="minorHAnsi"/>
        </w:rPr>
        <w:t xml:space="preserve">ir </w:t>
      </w:r>
      <w:r w:rsidR="001336A2">
        <w:rPr>
          <w:rFonts w:cstheme="minorHAnsi"/>
        </w:rPr>
        <w:t xml:space="preserve">au profit de l’État </w:t>
      </w:r>
      <w:r w:rsidR="00AC07BD">
        <w:rPr>
          <w:rFonts w:cstheme="minorHAnsi"/>
        </w:rPr>
        <w:t>l</w:t>
      </w:r>
      <w:r w:rsidR="00AC07BD" w:rsidRPr="00AC07BD">
        <w:rPr>
          <w:rFonts w:cstheme="minorHAnsi"/>
        </w:rPr>
        <w:t xml:space="preserve">es biens ou </w:t>
      </w:r>
      <w:r w:rsidR="00AC07BD">
        <w:rPr>
          <w:rFonts w:cstheme="minorHAnsi"/>
        </w:rPr>
        <w:t>l</w:t>
      </w:r>
      <w:r w:rsidR="00AC07BD" w:rsidRPr="00AC07BD">
        <w:rPr>
          <w:rFonts w:cstheme="minorHAnsi"/>
        </w:rPr>
        <w:t>es avoirs</w:t>
      </w:r>
      <w:r w:rsidR="00AC07BD">
        <w:rPr>
          <w:rFonts w:cstheme="minorHAnsi"/>
        </w:rPr>
        <w:t xml:space="preserve"> </w:t>
      </w:r>
      <w:r w:rsidR="001336A2" w:rsidRPr="003B6A0C">
        <w:rPr>
          <w:rFonts w:cstheme="minorHAnsi"/>
        </w:rPr>
        <w:t>infractionnels</w:t>
      </w:r>
      <w:r w:rsidR="001336A2">
        <w:rPr>
          <w:rFonts w:cstheme="minorHAnsi"/>
        </w:rPr>
        <w:t xml:space="preserve"> </w:t>
      </w:r>
      <w:r w:rsidR="00D03EB6">
        <w:rPr>
          <w:rFonts w:cstheme="minorHAnsi"/>
        </w:rPr>
        <w:t>qui pourraient enfreindre l’</w:t>
      </w:r>
      <w:r w:rsidR="00AC07BD">
        <w:rPr>
          <w:rFonts w:cstheme="minorHAnsi"/>
        </w:rPr>
        <w:t>une des interdictions énumérées ci-haut</w:t>
      </w:r>
      <w:r w:rsidR="001336A2">
        <w:rPr>
          <w:rFonts w:cstheme="minorHAnsi"/>
        </w:rPr>
        <w:t xml:space="preserve">. </w:t>
      </w:r>
    </w:p>
    <w:p w14:paraId="4C8E382C" w14:textId="3459C3F8" w:rsidR="00132D96" w:rsidRPr="00132D96" w:rsidRDefault="002F6352" w:rsidP="00F914B5">
      <w:pPr>
        <w:rPr>
          <w:rFonts w:cstheme="minorHAnsi"/>
          <w:b/>
          <w:bCs/>
        </w:rPr>
      </w:pPr>
      <w:r w:rsidRPr="00132D96">
        <w:rPr>
          <w:rFonts w:cstheme="minorHAnsi"/>
          <w:b/>
          <w:bCs/>
        </w:rPr>
        <w:t xml:space="preserve">3. </w:t>
      </w:r>
      <w:r w:rsidR="00132D96" w:rsidRPr="00132D96">
        <w:rPr>
          <w:rFonts w:cstheme="minorHAnsi"/>
          <w:b/>
          <w:bCs/>
        </w:rPr>
        <w:t>Infraction</w:t>
      </w:r>
      <w:r w:rsidR="005B66D4">
        <w:rPr>
          <w:rFonts w:cstheme="minorHAnsi"/>
          <w:b/>
          <w:bCs/>
        </w:rPr>
        <w:t>s</w:t>
      </w:r>
      <w:r w:rsidR="00132D96" w:rsidRPr="00132D96">
        <w:rPr>
          <w:rFonts w:cstheme="minorHAnsi"/>
          <w:b/>
          <w:bCs/>
        </w:rPr>
        <w:t xml:space="preserve"> et peine</w:t>
      </w:r>
      <w:r w:rsidR="005B66D4">
        <w:rPr>
          <w:rFonts w:cstheme="minorHAnsi"/>
          <w:b/>
          <w:bCs/>
        </w:rPr>
        <w:t>s</w:t>
      </w:r>
    </w:p>
    <w:p w14:paraId="79053D88" w14:textId="5C2A2CEE" w:rsidR="002F6352" w:rsidRPr="00AE5D1F" w:rsidRDefault="00763BEB" w:rsidP="00F914B5">
      <w:pPr>
        <w:rPr>
          <w:rFonts w:cstheme="minorHAnsi"/>
        </w:rPr>
      </w:pPr>
      <w:r w:rsidRPr="00AE5D1F">
        <w:rPr>
          <w:rFonts w:cstheme="minorHAnsi"/>
        </w:rPr>
        <w:t>En vertu de la</w:t>
      </w:r>
      <w:r w:rsidR="006C00E1">
        <w:rPr>
          <w:rFonts w:cstheme="minorHAnsi"/>
        </w:rPr>
        <w:t xml:space="preserve"> (LMES)</w:t>
      </w:r>
      <w:r w:rsidRPr="00AE5D1F">
        <w:rPr>
          <w:rFonts w:cstheme="minorHAnsi"/>
          <w:i/>
          <w:iCs/>
        </w:rPr>
        <w:t xml:space="preserve">, </w:t>
      </w:r>
      <w:r w:rsidRPr="00AE5D1F">
        <w:rPr>
          <w:rFonts w:cstheme="minorHAnsi"/>
        </w:rPr>
        <w:t>l</w:t>
      </w:r>
      <w:r w:rsidR="00F76D3D" w:rsidRPr="00AE5D1F">
        <w:rPr>
          <w:rFonts w:cstheme="minorHAnsi"/>
        </w:rPr>
        <w:t>e fait de</w:t>
      </w:r>
      <w:r w:rsidR="00F914B5" w:rsidRPr="00AE5D1F">
        <w:rPr>
          <w:rFonts w:cstheme="minorHAnsi"/>
        </w:rPr>
        <w:t xml:space="preserve"> contrevenir </w:t>
      </w:r>
      <w:r w:rsidR="00E24D03" w:rsidRPr="00AE5D1F">
        <w:rPr>
          <w:rFonts w:cstheme="minorHAnsi"/>
        </w:rPr>
        <w:t xml:space="preserve">sciemment </w:t>
      </w:r>
      <w:r w:rsidR="00F914B5" w:rsidRPr="00AE5D1F">
        <w:rPr>
          <w:rFonts w:cstheme="minorHAnsi"/>
        </w:rPr>
        <w:t>à ces interdictions, de</w:t>
      </w:r>
      <w:r w:rsidR="00F76D3D" w:rsidRPr="00AE5D1F">
        <w:rPr>
          <w:rFonts w:cstheme="minorHAnsi"/>
        </w:rPr>
        <w:t xml:space="preserve"> faciliter, de contribuer ou de viser à entreprendre de telles opérations </w:t>
      </w:r>
      <w:r w:rsidRPr="00AE5D1F">
        <w:rPr>
          <w:rFonts w:cstheme="minorHAnsi"/>
        </w:rPr>
        <w:t>peut</w:t>
      </w:r>
      <w:r w:rsidR="00E24D03" w:rsidRPr="00AE5D1F">
        <w:rPr>
          <w:rFonts w:cstheme="minorHAnsi"/>
        </w:rPr>
        <w:t xml:space="preserve"> </w:t>
      </w:r>
      <w:r w:rsidR="00F914B5" w:rsidRPr="00AE5D1F">
        <w:rPr>
          <w:rFonts w:cstheme="minorHAnsi"/>
        </w:rPr>
        <w:t xml:space="preserve">constituer </w:t>
      </w:r>
      <w:r w:rsidR="00F76D3D" w:rsidRPr="00AE5D1F">
        <w:rPr>
          <w:rFonts w:cstheme="minorHAnsi"/>
        </w:rPr>
        <w:t>une infraction criminelle</w:t>
      </w:r>
      <w:r w:rsidR="00823A67">
        <w:rPr>
          <w:rFonts w:cstheme="minorHAnsi"/>
        </w:rPr>
        <w:t xml:space="preserve"> passible d’une amende de 25</w:t>
      </w:r>
      <w:r w:rsidR="002101EF">
        <w:rPr>
          <w:rFonts w:cstheme="minorHAnsi"/>
        </w:rPr>
        <w:t> </w:t>
      </w:r>
      <w:r w:rsidR="00823A67">
        <w:rPr>
          <w:rFonts w:cstheme="minorHAnsi"/>
        </w:rPr>
        <w:t xml:space="preserve">000 ou d’une peine d’emprisonnement </w:t>
      </w:r>
      <w:r w:rsidR="005B66D4">
        <w:rPr>
          <w:rFonts w:cstheme="minorHAnsi"/>
        </w:rPr>
        <w:t xml:space="preserve">maximale </w:t>
      </w:r>
      <w:r w:rsidR="00823A67">
        <w:rPr>
          <w:rFonts w:cstheme="minorHAnsi"/>
        </w:rPr>
        <w:t>allant jusqu’à cinq ans</w:t>
      </w:r>
      <w:r w:rsidR="00F914B5" w:rsidRPr="00AE5D1F">
        <w:rPr>
          <w:rFonts w:cstheme="minorHAnsi"/>
        </w:rPr>
        <w:t>. L</w:t>
      </w:r>
      <w:r w:rsidR="00F76D3D" w:rsidRPr="00AE5D1F">
        <w:rPr>
          <w:rFonts w:cstheme="minorHAnsi"/>
        </w:rPr>
        <w:t>es produits de toute opération financière connexe peuvent</w:t>
      </w:r>
      <w:r w:rsidR="00F914B5" w:rsidRPr="00AE5D1F">
        <w:rPr>
          <w:rFonts w:cstheme="minorHAnsi"/>
        </w:rPr>
        <w:t xml:space="preserve"> également</w:t>
      </w:r>
      <w:r w:rsidR="00F76D3D" w:rsidRPr="00AE5D1F">
        <w:rPr>
          <w:rFonts w:cstheme="minorHAnsi"/>
        </w:rPr>
        <w:t xml:space="preserve"> être considérés comme d’origine criminelle</w:t>
      </w:r>
      <w:r w:rsidR="00823A67">
        <w:rPr>
          <w:rFonts w:cstheme="minorHAnsi"/>
        </w:rPr>
        <w:t xml:space="preserve">, </w:t>
      </w:r>
      <w:r w:rsidR="00AA08AC">
        <w:rPr>
          <w:rFonts w:cstheme="minorHAnsi"/>
        </w:rPr>
        <w:t xml:space="preserve">ce qui constitue </w:t>
      </w:r>
      <w:r w:rsidR="00823A67">
        <w:rPr>
          <w:rFonts w:cstheme="minorHAnsi"/>
        </w:rPr>
        <w:t>une infraction distincte</w:t>
      </w:r>
      <w:r w:rsidR="00F76D3D" w:rsidRPr="00AE5D1F">
        <w:rPr>
          <w:rFonts w:cstheme="minorHAnsi"/>
        </w:rPr>
        <w:t xml:space="preserve">. </w:t>
      </w:r>
      <w:r w:rsidR="00823A67">
        <w:rPr>
          <w:rFonts w:cstheme="minorHAnsi"/>
        </w:rPr>
        <w:t>C</w:t>
      </w:r>
      <w:r w:rsidR="00D03EB6">
        <w:rPr>
          <w:rFonts w:cstheme="minorHAnsi"/>
        </w:rPr>
        <w:t>ependant,</w:t>
      </w:r>
      <w:r w:rsidR="00F76D3D" w:rsidRPr="00AE5D1F">
        <w:rPr>
          <w:rFonts w:cstheme="minorHAnsi"/>
        </w:rPr>
        <w:t xml:space="preserve"> </w:t>
      </w:r>
      <w:r w:rsidR="00F914B5" w:rsidRPr="00AE5D1F">
        <w:rPr>
          <w:rFonts w:cstheme="minorHAnsi"/>
        </w:rPr>
        <w:t xml:space="preserve">aucune poursuite ni aucune procédure civile ne peuvent être intentées contre </w:t>
      </w:r>
      <w:r w:rsidRPr="00AE5D1F">
        <w:rPr>
          <w:rFonts w:cstheme="minorHAnsi"/>
        </w:rPr>
        <w:t>les</w:t>
      </w:r>
      <w:r w:rsidR="00F914B5" w:rsidRPr="00AE5D1F">
        <w:rPr>
          <w:rFonts w:cstheme="minorHAnsi"/>
        </w:rPr>
        <w:t xml:space="preserve"> personne</w:t>
      </w:r>
      <w:r w:rsidRPr="00AE5D1F">
        <w:rPr>
          <w:rFonts w:cstheme="minorHAnsi"/>
        </w:rPr>
        <w:t xml:space="preserve">s qui </w:t>
      </w:r>
      <w:r w:rsidR="00F914B5" w:rsidRPr="00AE5D1F">
        <w:rPr>
          <w:rFonts w:cstheme="minorHAnsi"/>
        </w:rPr>
        <w:t>inform</w:t>
      </w:r>
      <w:r w:rsidRPr="00AE5D1F">
        <w:rPr>
          <w:rFonts w:cstheme="minorHAnsi"/>
        </w:rPr>
        <w:t>ent de bonne foi</w:t>
      </w:r>
      <w:r w:rsidR="00F914B5" w:rsidRPr="00AE5D1F">
        <w:rPr>
          <w:rFonts w:cstheme="minorHAnsi"/>
        </w:rPr>
        <w:t xml:space="preserve"> les autorités </w:t>
      </w:r>
      <w:r w:rsidRPr="00AE5D1F">
        <w:rPr>
          <w:rFonts w:cstheme="minorHAnsi"/>
        </w:rPr>
        <w:t xml:space="preserve">canadiennes </w:t>
      </w:r>
      <w:r w:rsidR="00F914B5" w:rsidRPr="00AE5D1F">
        <w:rPr>
          <w:rFonts w:cstheme="minorHAnsi"/>
        </w:rPr>
        <w:t>de</w:t>
      </w:r>
      <w:r w:rsidRPr="00AE5D1F">
        <w:rPr>
          <w:rFonts w:cstheme="minorHAnsi"/>
        </w:rPr>
        <w:t xml:space="preserve"> la possibilité </w:t>
      </w:r>
      <w:r w:rsidR="005D6650" w:rsidRPr="00AE5D1F">
        <w:rPr>
          <w:rFonts w:cstheme="minorHAnsi"/>
        </w:rPr>
        <w:t xml:space="preserve">d’avoir réalisé des </w:t>
      </w:r>
      <w:r w:rsidRPr="00AE5D1F">
        <w:rPr>
          <w:rFonts w:cstheme="minorHAnsi"/>
        </w:rPr>
        <w:t>opérations</w:t>
      </w:r>
      <w:r w:rsidR="005D6650" w:rsidRPr="00AE5D1F">
        <w:rPr>
          <w:rFonts w:cstheme="minorHAnsi"/>
        </w:rPr>
        <w:t xml:space="preserve"> </w:t>
      </w:r>
      <w:r w:rsidR="00F914B5" w:rsidRPr="00AE5D1F">
        <w:rPr>
          <w:rFonts w:cstheme="minorHAnsi"/>
        </w:rPr>
        <w:t>en lien avec toute personne désignée</w:t>
      </w:r>
      <w:r w:rsidR="0088658B" w:rsidRPr="00AE5D1F">
        <w:rPr>
          <w:rFonts w:cstheme="minorHAnsi"/>
        </w:rPr>
        <w:t>.</w:t>
      </w:r>
      <w:r w:rsidR="00F914B5" w:rsidRPr="00AE5D1F">
        <w:rPr>
          <w:rFonts w:cstheme="minorHAnsi"/>
        </w:rPr>
        <w:t xml:space="preserve"> </w:t>
      </w:r>
    </w:p>
    <w:p w14:paraId="7D7F7B64" w14:textId="006D91F5" w:rsidR="00D60527" w:rsidRPr="00AE5D1F" w:rsidRDefault="0023512F" w:rsidP="00D60527">
      <w:pPr>
        <w:rPr>
          <w:rFonts w:cstheme="minorHAnsi"/>
        </w:rPr>
      </w:pPr>
      <w:r w:rsidRPr="00AE5D1F">
        <w:rPr>
          <w:rFonts w:cstheme="minorHAnsi"/>
        </w:rPr>
        <w:t xml:space="preserve">Par conséquent, </w:t>
      </w:r>
      <w:r w:rsidR="00132D96">
        <w:rPr>
          <w:rFonts w:cstheme="minorHAnsi"/>
        </w:rPr>
        <w:t>il est suggéré</w:t>
      </w:r>
      <w:r w:rsidR="00D60527" w:rsidRPr="00AE5D1F">
        <w:rPr>
          <w:rFonts w:cstheme="minorHAnsi"/>
        </w:rPr>
        <w:t xml:space="preserve"> aux entreprises qui entretiendrai</w:t>
      </w:r>
      <w:r w:rsidR="00D51398">
        <w:rPr>
          <w:rFonts w:cstheme="minorHAnsi"/>
        </w:rPr>
        <w:t>en</w:t>
      </w:r>
      <w:r w:rsidR="00D60527" w:rsidRPr="00AE5D1F">
        <w:rPr>
          <w:rFonts w:cstheme="minorHAnsi"/>
        </w:rPr>
        <w:t>t des liens avec des personnes et entités désignées, et à tout intermédiaire canadien, de :</w:t>
      </w:r>
    </w:p>
    <w:p w14:paraId="09A57A9F" w14:textId="07936BFF" w:rsidR="00D60527" w:rsidRPr="00AE5D1F" w:rsidRDefault="00D60527" w:rsidP="00D60527">
      <w:pPr>
        <w:pStyle w:val="Paragraphedeliste"/>
        <w:numPr>
          <w:ilvl w:val="0"/>
          <w:numId w:val="1"/>
        </w:numPr>
        <w:rPr>
          <w:rFonts w:cstheme="minorHAnsi"/>
        </w:rPr>
      </w:pPr>
      <w:r w:rsidRPr="00AE5D1F">
        <w:rPr>
          <w:rFonts w:cstheme="minorHAnsi"/>
        </w:rPr>
        <w:lastRenderedPageBreak/>
        <w:t>Surveiller leurs opérations financières afin de déceler tout motif raisonnable de soupçonner qu’elles sont liées à une violation du RMESR ou d’une infraction de blanchiment d’argent</w:t>
      </w:r>
      <w:r w:rsidR="002101EF">
        <w:rPr>
          <w:rFonts w:cstheme="minorHAnsi"/>
        </w:rPr>
        <w:t> </w:t>
      </w:r>
      <w:r w:rsidRPr="00AE5D1F">
        <w:rPr>
          <w:rFonts w:cstheme="minorHAnsi"/>
        </w:rPr>
        <w:t>;</w:t>
      </w:r>
    </w:p>
    <w:p w14:paraId="2C5DCAA1" w14:textId="1EF9DF23" w:rsidR="00D60527" w:rsidRPr="00AE5D1F" w:rsidRDefault="00D60527" w:rsidP="00D60527">
      <w:pPr>
        <w:pStyle w:val="Paragraphedeliste"/>
        <w:numPr>
          <w:ilvl w:val="0"/>
          <w:numId w:val="1"/>
        </w:numPr>
        <w:rPr>
          <w:rFonts w:cstheme="minorHAnsi"/>
        </w:rPr>
      </w:pPr>
      <w:r w:rsidRPr="00AE5D1F">
        <w:rPr>
          <w:rFonts w:cstheme="minorHAnsi"/>
        </w:rPr>
        <w:t>Maintenir une approche axée sur les risques efficace</w:t>
      </w:r>
      <w:r w:rsidR="00D03EB6">
        <w:rPr>
          <w:rFonts w:cstheme="minorHAnsi"/>
        </w:rPr>
        <w:t>s</w:t>
      </w:r>
      <w:r w:rsidRPr="00AE5D1F">
        <w:rPr>
          <w:rFonts w:cstheme="minorHAnsi"/>
        </w:rPr>
        <w:t xml:space="preserve"> pour évaluer le degré de risque des clients qui pourraient agir comme intermédiaire, appartenir ou être sous le contrôle d’une personne désignée</w:t>
      </w:r>
      <w:r w:rsidR="002101EF">
        <w:rPr>
          <w:rFonts w:cstheme="minorHAnsi"/>
        </w:rPr>
        <w:t> </w:t>
      </w:r>
      <w:r w:rsidRPr="00AE5D1F">
        <w:rPr>
          <w:rFonts w:cstheme="minorHAnsi"/>
        </w:rPr>
        <w:t>;</w:t>
      </w:r>
    </w:p>
    <w:p w14:paraId="2533440D" w14:textId="4A4743E2" w:rsidR="00D60527" w:rsidRPr="00AE5D1F" w:rsidRDefault="00D60527" w:rsidP="00D60527">
      <w:pPr>
        <w:pStyle w:val="Paragraphedeliste"/>
        <w:numPr>
          <w:ilvl w:val="0"/>
          <w:numId w:val="1"/>
        </w:numPr>
        <w:rPr>
          <w:rFonts w:cstheme="minorHAnsi"/>
        </w:rPr>
      </w:pPr>
      <w:r w:rsidRPr="00AE5D1F">
        <w:rPr>
          <w:rFonts w:cstheme="minorHAnsi"/>
        </w:rPr>
        <w:t>Mettre en place des mesures de prévention visant à bien connaître leurs clients.</w:t>
      </w:r>
    </w:p>
    <w:p w14:paraId="3AC67E17" w14:textId="25A77105" w:rsidR="00D60527" w:rsidRPr="00AE5D1F" w:rsidRDefault="00D60527" w:rsidP="00D60527">
      <w:pPr>
        <w:rPr>
          <w:rFonts w:cstheme="minorHAnsi"/>
        </w:rPr>
      </w:pPr>
    </w:p>
    <w:p w14:paraId="5EE7B15F" w14:textId="603FB248" w:rsidR="00725D4E" w:rsidRPr="00AE5D1F" w:rsidRDefault="00D60527" w:rsidP="00725D4E">
      <w:pPr>
        <w:rPr>
          <w:rFonts w:cstheme="minorHAnsi"/>
        </w:rPr>
      </w:pPr>
      <w:r w:rsidRPr="00AE5D1F">
        <w:rPr>
          <w:rFonts w:cstheme="minorHAnsi"/>
        </w:rPr>
        <w:t>Si vous-mêmes ou votre entreprise avez des questions relatives aux importations/exportations d’origine ou à destination de la Russie ou concernant toute autre exigence de nature commerciale ou douanière, n’hésitez pas à communiquer avec l’un de nos conseillers juridiques</w:t>
      </w:r>
      <w:r w:rsidR="00725D4E" w:rsidRPr="00AE5D1F">
        <w:rPr>
          <w:rFonts w:cstheme="minorHAnsi"/>
        </w:rPr>
        <w:t>.</w:t>
      </w:r>
      <w:r w:rsidRPr="00AE5D1F">
        <w:rPr>
          <w:rFonts w:cstheme="minorHAnsi"/>
        </w:rPr>
        <w:t xml:space="preserve">   </w:t>
      </w:r>
    </w:p>
    <w:p w14:paraId="79885D36" w14:textId="75FD5902" w:rsidR="009F423B" w:rsidRPr="0023512F" w:rsidRDefault="00725D4E">
      <w:r w:rsidRPr="00AE5D1F">
        <w:rPr>
          <w:rFonts w:cstheme="minorHAnsi"/>
          <w:shd w:val="clear" w:color="auto" w:fill="FFFFFF"/>
        </w:rPr>
        <w:t>Le cabinet DS Avocats possède une équipe expérimentée</w:t>
      </w:r>
      <w:r w:rsidR="00AA08AC">
        <w:rPr>
          <w:rFonts w:cstheme="minorHAnsi"/>
          <w:shd w:val="clear" w:color="auto" w:fill="FFFFFF"/>
        </w:rPr>
        <w:t xml:space="preserve"> en</w:t>
      </w:r>
      <w:r w:rsidRPr="00AE5D1F">
        <w:rPr>
          <w:rFonts w:cstheme="minorHAnsi"/>
          <w:shd w:val="clear" w:color="auto" w:fill="FFFFFF"/>
        </w:rPr>
        <w:t xml:space="preserve"> matière de défense commerciale et assure une expertise complète en ce qui a trait aux enjeux de </w:t>
      </w:r>
      <w:r w:rsidRPr="00AE5D1F">
        <w:rPr>
          <w:rFonts w:cstheme="minorHAnsi"/>
        </w:rPr>
        <w:t>conformité et aux contrôles douaniers.</w:t>
      </w:r>
      <w:r w:rsidR="005D6650" w:rsidRPr="00AE5D1F">
        <w:rPr>
          <w:rFonts w:cstheme="minorHAnsi"/>
        </w:rPr>
        <w:t xml:space="preserve"> </w:t>
      </w:r>
    </w:p>
    <w:sectPr w:rsidR="009F423B" w:rsidRPr="0023512F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6D92" w14:textId="77777777" w:rsidR="00825034" w:rsidRDefault="00825034" w:rsidP="00D03EB6">
      <w:pPr>
        <w:spacing w:after="0" w:line="240" w:lineRule="auto"/>
      </w:pPr>
      <w:r>
        <w:separator/>
      </w:r>
    </w:p>
  </w:endnote>
  <w:endnote w:type="continuationSeparator" w:id="0">
    <w:p w14:paraId="52D510CC" w14:textId="77777777" w:rsidR="00825034" w:rsidRDefault="00825034" w:rsidP="00D0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BD79" w14:textId="54EB7EEA" w:rsidR="00F23EF3" w:rsidRDefault="00F23EF3">
    <w:pPr>
      <w:pStyle w:val="Pieddepage"/>
    </w:pPr>
    <w:r>
      <w:rPr>
        <w:rFonts w:ascii="Montserrat" w:hAnsi="Montserrat"/>
        <w:spacing w:val="-2"/>
        <w:sz w:val="23"/>
        <w:szCs w:val="23"/>
        <w:shd w:val="clear" w:color="auto" w:fill="FFFFFF"/>
      </w:rPr>
      <w:t xml:space="preserve">© </w:t>
    </w:r>
    <w:r>
      <w:rPr>
        <w:rFonts w:ascii="Montserrat" w:hAnsi="Montserrat"/>
        <w:spacing w:val="-2"/>
        <w:sz w:val="23"/>
        <w:szCs w:val="23"/>
        <w:shd w:val="clear" w:color="auto" w:fill="FFFFFF"/>
      </w:rPr>
      <w:t xml:space="preserve">DS Avocats Canada </w:t>
    </w:r>
    <w:r>
      <w:rPr>
        <w:rFonts w:ascii="Montserrat" w:hAnsi="Montserrat"/>
        <w:spacing w:val="-2"/>
        <w:sz w:val="23"/>
        <w:szCs w:val="23"/>
        <w:shd w:val="clear" w:color="auto" w:fill="FFFFFF"/>
      </w:rPr>
      <w:t>S.E.N.C.R.L., s.r.l. </w:t>
    </w:r>
    <w:r>
      <w:rPr>
        <w:rFonts w:ascii="Montserrat" w:hAnsi="Montserrat"/>
        <w:spacing w:val="-2"/>
        <w:sz w:val="23"/>
        <w:szCs w:val="23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084A9" w14:textId="77777777" w:rsidR="00825034" w:rsidRDefault="00825034" w:rsidP="00D03EB6">
      <w:pPr>
        <w:spacing w:after="0" w:line="240" w:lineRule="auto"/>
      </w:pPr>
      <w:r>
        <w:separator/>
      </w:r>
    </w:p>
  </w:footnote>
  <w:footnote w:type="continuationSeparator" w:id="0">
    <w:p w14:paraId="70DE5966" w14:textId="77777777" w:rsidR="00825034" w:rsidRDefault="00825034" w:rsidP="00D0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B507" w14:textId="08FA46E3" w:rsidR="00D03EB6" w:rsidRDefault="00F23EF3" w:rsidP="00F23EF3">
    <w:pPr>
      <w:pStyle w:val="En-tte"/>
      <w:jc w:val="center"/>
    </w:pPr>
    <w:r w:rsidRPr="00593CF2">
      <w:rPr>
        <w:noProof/>
        <w:sz w:val="32"/>
        <w:szCs w:val="32"/>
        <w:lang w:eastAsia="fr-CA"/>
      </w:rPr>
      <w:drawing>
        <wp:inline distT="0" distB="0" distL="0" distR="0" wp14:anchorId="154EC07C" wp14:editId="093B1A82">
          <wp:extent cx="1668780" cy="1501140"/>
          <wp:effectExtent l="0" t="0" r="7620" b="3810"/>
          <wp:docPr id="2" name="Image 2" descr="logo_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150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3D12"/>
    <w:multiLevelType w:val="hybridMultilevel"/>
    <w:tmpl w:val="FD8A1FB0"/>
    <w:lvl w:ilvl="0" w:tplc="E4B829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448E3"/>
    <w:multiLevelType w:val="hybridMultilevel"/>
    <w:tmpl w:val="C04CB35E"/>
    <w:lvl w:ilvl="0" w:tplc="6564272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5477A"/>
    <w:multiLevelType w:val="hybridMultilevel"/>
    <w:tmpl w:val="9F22737A"/>
    <w:lvl w:ilvl="0" w:tplc="8194930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A2BB0"/>
    <w:multiLevelType w:val="hybridMultilevel"/>
    <w:tmpl w:val="68586BF4"/>
    <w:lvl w:ilvl="0" w:tplc="D396DD46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EC"/>
    <w:rsid w:val="000273A3"/>
    <w:rsid w:val="001206CB"/>
    <w:rsid w:val="00132D96"/>
    <w:rsid w:val="001336A2"/>
    <w:rsid w:val="00144C7B"/>
    <w:rsid w:val="001606FF"/>
    <w:rsid w:val="00164981"/>
    <w:rsid w:val="001D4E68"/>
    <w:rsid w:val="001D6009"/>
    <w:rsid w:val="001D666B"/>
    <w:rsid w:val="002101EF"/>
    <w:rsid w:val="0023512F"/>
    <w:rsid w:val="00283AD8"/>
    <w:rsid w:val="00297DEF"/>
    <w:rsid w:val="002F6352"/>
    <w:rsid w:val="003B6A0C"/>
    <w:rsid w:val="003F1A9C"/>
    <w:rsid w:val="004407E2"/>
    <w:rsid w:val="00456118"/>
    <w:rsid w:val="00484572"/>
    <w:rsid w:val="004E2E06"/>
    <w:rsid w:val="004F678E"/>
    <w:rsid w:val="00524CEC"/>
    <w:rsid w:val="00530EAE"/>
    <w:rsid w:val="00563B03"/>
    <w:rsid w:val="005B66D4"/>
    <w:rsid w:val="005D2447"/>
    <w:rsid w:val="005D6650"/>
    <w:rsid w:val="00674EF9"/>
    <w:rsid w:val="006C00E1"/>
    <w:rsid w:val="006F05B9"/>
    <w:rsid w:val="00713E31"/>
    <w:rsid w:val="00725D4E"/>
    <w:rsid w:val="00763BEB"/>
    <w:rsid w:val="0078241E"/>
    <w:rsid w:val="00813764"/>
    <w:rsid w:val="00823A67"/>
    <w:rsid w:val="00825034"/>
    <w:rsid w:val="008304B3"/>
    <w:rsid w:val="00875D34"/>
    <w:rsid w:val="0088658B"/>
    <w:rsid w:val="008F3B92"/>
    <w:rsid w:val="008F5770"/>
    <w:rsid w:val="0092510C"/>
    <w:rsid w:val="0095766E"/>
    <w:rsid w:val="009F423B"/>
    <w:rsid w:val="00A00A20"/>
    <w:rsid w:val="00A36D13"/>
    <w:rsid w:val="00A51D7B"/>
    <w:rsid w:val="00A87B3C"/>
    <w:rsid w:val="00A910C2"/>
    <w:rsid w:val="00AA08AC"/>
    <w:rsid w:val="00AB4FB1"/>
    <w:rsid w:val="00AC07BD"/>
    <w:rsid w:val="00AE5D1F"/>
    <w:rsid w:val="00AE6157"/>
    <w:rsid w:val="00B37AA5"/>
    <w:rsid w:val="00B52EEC"/>
    <w:rsid w:val="00B56AE9"/>
    <w:rsid w:val="00B64601"/>
    <w:rsid w:val="00B8606C"/>
    <w:rsid w:val="00BC233C"/>
    <w:rsid w:val="00BC760E"/>
    <w:rsid w:val="00C83E19"/>
    <w:rsid w:val="00CC0DD5"/>
    <w:rsid w:val="00CD3343"/>
    <w:rsid w:val="00CD44A8"/>
    <w:rsid w:val="00D03EB6"/>
    <w:rsid w:val="00D42631"/>
    <w:rsid w:val="00D51398"/>
    <w:rsid w:val="00D60527"/>
    <w:rsid w:val="00E24D03"/>
    <w:rsid w:val="00E26D73"/>
    <w:rsid w:val="00E72396"/>
    <w:rsid w:val="00ED2647"/>
    <w:rsid w:val="00EE0308"/>
    <w:rsid w:val="00EE3810"/>
    <w:rsid w:val="00F062A6"/>
    <w:rsid w:val="00F07386"/>
    <w:rsid w:val="00F078E9"/>
    <w:rsid w:val="00F23EF3"/>
    <w:rsid w:val="00F30ED4"/>
    <w:rsid w:val="00F76D3D"/>
    <w:rsid w:val="00F9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16BDA"/>
  <w15:chartTrackingRefBased/>
  <w15:docId w15:val="{D3B0F93B-9D58-4F9A-B409-1785A4CF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0527"/>
    <w:pPr>
      <w:spacing w:after="0" w:line="240" w:lineRule="auto"/>
      <w:ind w:left="720"/>
    </w:pPr>
  </w:style>
  <w:style w:type="character" w:styleId="Lienhypertexte">
    <w:name w:val="Hyperlink"/>
    <w:basedOn w:val="Policepardfaut"/>
    <w:uiPriority w:val="99"/>
    <w:unhideWhenUsed/>
    <w:rsid w:val="001D4E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4E6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36D13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EE3810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03E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3EB6"/>
  </w:style>
  <w:style w:type="paragraph" w:styleId="Pieddepage">
    <w:name w:val="footer"/>
    <w:basedOn w:val="Normal"/>
    <w:link w:val="PieddepageCar"/>
    <w:uiPriority w:val="99"/>
    <w:unhideWhenUsed/>
    <w:rsid w:val="00D03E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3EB6"/>
  </w:style>
  <w:style w:type="paragraph" w:styleId="Rvision">
    <w:name w:val="Revision"/>
    <w:hidden/>
    <w:uiPriority w:val="99"/>
    <w:semiHidden/>
    <w:rsid w:val="00AA08AC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4E2E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2E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2E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E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E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s-lois.justice.gc.ca/fra/reglements/dors-89-202/TexteComple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s-lois.justice.gc.ca/fra/reglements/DORS-2014-58/TexteComple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946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Hamel-Guilbert</dc:creator>
  <cp:keywords/>
  <dc:description/>
  <cp:lastModifiedBy>Julien Hamel-Guilbert</cp:lastModifiedBy>
  <cp:revision>11</cp:revision>
  <dcterms:created xsi:type="dcterms:W3CDTF">2022-06-06T16:21:00Z</dcterms:created>
  <dcterms:modified xsi:type="dcterms:W3CDTF">2022-06-07T17:43:00Z</dcterms:modified>
</cp:coreProperties>
</file>